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7AC9B" w14:textId="77777777" w:rsidR="000D6D5B" w:rsidRPr="000D6D5B" w:rsidRDefault="000D6D5B" w:rsidP="000D6D5B">
      <w:pPr>
        <w:rPr>
          <w:color w:val="2E74B5" w:themeColor="accent1" w:themeShade="BF"/>
          <w:sz w:val="32"/>
          <w:szCs w:val="32"/>
        </w:rPr>
      </w:pPr>
      <w:r w:rsidRPr="000D6D5B">
        <w:rPr>
          <w:rFonts w:cstheme="minorHAnsi"/>
          <w:b/>
          <w:bCs/>
          <w:color w:val="2E74B5" w:themeColor="accent1" w:themeShade="BF"/>
          <w:sz w:val="32"/>
          <w:szCs w:val="32"/>
        </w:rPr>
        <w:t>Teacher Guide – Digital Ecosystems in the healthcare sector</w:t>
      </w:r>
    </w:p>
    <w:p w14:paraId="5D2AE548" w14:textId="77777777" w:rsidR="000D6D5B" w:rsidRDefault="000D6D5B" w:rsidP="000D6D5B">
      <w:pPr>
        <w:rPr>
          <w:b/>
        </w:rPr>
      </w:pPr>
    </w:p>
    <w:p w14:paraId="37656BF5" w14:textId="71B58E8F" w:rsidR="000D6D5B" w:rsidRPr="009D57B0" w:rsidRDefault="000D6D5B" w:rsidP="000D6D5B">
      <w:pPr>
        <w:rPr>
          <w:b/>
        </w:rPr>
      </w:pPr>
      <w:r>
        <w:rPr>
          <w:b/>
        </w:rPr>
        <w:t>Digital ecosystems and problem definition</w:t>
      </w:r>
    </w:p>
    <w:p w14:paraId="48EB71F1" w14:textId="77777777" w:rsidR="000D6D5B" w:rsidRDefault="000D6D5B" w:rsidP="000D6D5B">
      <w:pPr>
        <w:jc w:val="both"/>
      </w:pPr>
      <w:r>
        <w:t xml:space="preserve">Healthcare systems are experiencing deep transformations worldwide. Pre-existing trends, further accelerated by the recent pandemic, have clearly set the bases for new organizational models based on patient-centred, proximity-oriented healthcare systems. In other words, healthcare systems are being transformed to shift activities to settings that are as close as possible to patients’ homes (or at their homes directly), building integrated care pathways around their specific needs. </w:t>
      </w:r>
    </w:p>
    <w:p w14:paraId="0B7EFF86" w14:textId="77777777" w:rsidR="000D6D5B" w:rsidRDefault="000D6D5B" w:rsidP="000D6D5B">
      <w:pPr>
        <w:jc w:val="both"/>
      </w:pPr>
      <w:r>
        <w:t xml:space="preserve">This new organizational paradigm implies a consistent use of digital tools and platforms that are key in the processes of collection, transmission, analysis, and storage of data. Several formal (and possibly informal) actors must be interconnected and share information on the patient so to implement a truly integrated system. This leads to the rise of digital ecosystems (DEs), responsible for interconnecting settings, professionals, patients, caregivers, and other stakeholders. </w:t>
      </w:r>
      <w:r w:rsidRPr="00871C9C">
        <w:t>Nevertheless, DEs, at least at their most mature stages of development, are a rather new concept and their concrete applicability and implementation is frequently sub-optimal. This may hinder the ability of healthcare systems to respond to patients’ needs in effective and efficient ways and may ultimately imply a lack of performance when taking in charge complex, multi-pathological and chronic patients.</w:t>
      </w:r>
    </w:p>
    <w:p w14:paraId="221D6A69" w14:textId="77777777" w:rsidR="000D6D5B" w:rsidRDefault="000D6D5B" w:rsidP="000D6D5B">
      <w:pPr>
        <w:jc w:val="both"/>
      </w:pPr>
    </w:p>
    <w:p w14:paraId="5D87F07F" w14:textId="77777777" w:rsidR="000D6D5B" w:rsidRDefault="000D6D5B" w:rsidP="000D6D5B">
      <w:pPr>
        <w:jc w:val="both"/>
        <w:rPr>
          <w:b/>
        </w:rPr>
      </w:pPr>
      <w:r>
        <w:rPr>
          <w:b/>
        </w:rPr>
        <w:t>Who are the stakeholders of DEs?</w:t>
      </w:r>
    </w:p>
    <w:p w14:paraId="43221460" w14:textId="77777777" w:rsidR="000D6D5B" w:rsidRDefault="000D6D5B" w:rsidP="000D6D5B">
      <w:pPr>
        <w:jc w:val="both"/>
      </w:pPr>
      <w:r w:rsidRPr="00DB44EF">
        <w:t>Such a modular configuration of healthcare systems must necessarily hold on to adequate information and communication systems. These too should follow a modular configuration, so to reach and integrate each source of valuable information that may arise across a patient’s clinical pathway. These DEs must connect professionals and settings across the continuum of care of patients, ensuring that the needed information is accessible, available on time, and exhaustive. They facilitate digital exchanges between two or more stakeholder groups and enable coordination, interaction, and transactions among actors.</w:t>
      </w:r>
    </w:p>
    <w:p w14:paraId="0D74715B" w14:textId="77777777" w:rsidR="000D6D5B" w:rsidRPr="005D27D8" w:rsidRDefault="000D6D5B" w:rsidP="000D6D5B">
      <w:pPr>
        <w:pStyle w:val="Listaszerbekezds"/>
        <w:widowControl w:val="0"/>
        <w:numPr>
          <w:ilvl w:val="0"/>
          <w:numId w:val="17"/>
        </w:numPr>
        <w:spacing w:before="120" w:after="120" w:line="240" w:lineRule="auto"/>
        <w:jc w:val="both"/>
        <w:rPr>
          <w:i/>
        </w:rPr>
      </w:pPr>
      <w:r>
        <w:rPr>
          <w:i/>
        </w:rPr>
        <w:t>Which stakeholders are likely to be involved in a primary care DE</w:t>
      </w:r>
      <w:r w:rsidRPr="005D27D8">
        <w:rPr>
          <w:i/>
        </w:rPr>
        <w:t xml:space="preserve">? What </w:t>
      </w:r>
      <w:r>
        <w:rPr>
          <w:i/>
        </w:rPr>
        <w:t>is their role</w:t>
      </w:r>
      <w:r w:rsidRPr="005D27D8">
        <w:rPr>
          <w:i/>
        </w:rPr>
        <w:t xml:space="preserve">? </w:t>
      </w:r>
      <w:r>
        <w:rPr>
          <w:i/>
        </w:rPr>
        <w:t>What type of information should they have access to</w:t>
      </w:r>
      <w:r w:rsidRPr="005D27D8">
        <w:rPr>
          <w:i/>
        </w:rPr>
        <w:t>?</w:t>
      </w:r>
    </w:p>
    <w:p w14:paraId="472D78AA" w14:textId="77777777" w:rsidR="000D6D5B" w:rsidRPr="00176D5F" w:rsidRDefault="000D6D5B" w:rsidP="000D6D5B">
      <w:pPr>
        <w:jc w:val="both"/>
        <w:rPr>
          <w:i/>
          <w:sz w:val="20"/>
        </w:rPr>
      </w:pPr>
    </w:p>
    <w:tbl>
      <w:tblPr>
        <w:tblStyle w:val="Rcsostblzat"/>
        <w:tblW w:w="0" w:type="auto"/>
        <w:tblLook w:val="04A0" w:firstRow="1" w:lastRow="0" w:firstColumn="1" w:lastColumn="0" w:noHBand="0" w:noVBand="1"/>
      </w:tblPr>
      <w:tblGrid>
        <w:gridCol w:w="3020"/>
        <w:gridCol w:w="3021"/>
        <w:gridCol w:w="3021"/>
      </w:tblGrid>
      <w:tr w:rsidR="000D6D5B" w14:paraId="5A3BEE9A" w14:textId="77777777" w:rsidTr="004649E7">
        <w:tc>
          <w:tcPr>
            <w:tcW w:w="3020" w:type="dxa"/>
          </w:tcPr>
          <w:p w14:paraId="367AEBF9" w14:textId="77777777" w:rsidR="000D6D5B" w:rsidRPr="00E47D55" w:rsidRDefault="000D6D5B" w:rsidP="004649E7">
            <w:pPr>
              <w:rPr>
                <w:b/>
                <w:bCs/>
              </w:rPr>
            </w:pPr>
            <w:r w:rsidRPr="00E47D55">
              <w:rPr>
                <w:b/>
                <w:bCs/>
              </w:rPr>
              <w:t>Stakeholder</w:t>
            </w:r>
          </w:p>
        </w:tc>
        <w:tc>
          <w:tcPr>
            <w:tcW w:w="3021" w:type="dxa"/>
          </w:tcPr>
          <w:p w14:paraId="24BB7D9C" w14:textId="77777777" w:rsidR="000D6D5B" w:rsidRPr="00E47D55" w:rsidRDefault="000D6D5B" w:rsidP="004649E7">
            <w:pPr>
              <w:rPr>
                <w:b/>
                <w:bCs/>
              </w:rPr>
            </w:pPr>
            <w:r w:rsidRPr="00E47D55">
              <w:rPr>
                <w:b/>
                <w:bCs/>
              </w:rPr>
              <w:t xml:space="preserve">Role </w:t>
            </w:r>
          </w:p>
        </w:tc>
        <w:tc>
          <w:tcPr>
            <w:tcW w:w="3021" w:type="dxa"/>
          </w:tcPr>
          <w:p w14:paraId="47CE8E75" w14:textId="77777777" w:rsidR="000D6D5B" w:rsidRPr="00E47D55" w:rsidRDefault="000D6D5B" w:rsidP="004649E7">
            <w:pPr>
              <w:rPr>
                <w:b/>
                <w:bCs/>
              </w:rPr>
            </w:pPr>
            <w:r w:rsidRPr="00E47D55">
              <w:rPr>
                <w:b/>
                <w:bCs/>
              </w:rPr>
              <w:t>Information needed</w:t>
            </w:r>
          </w:p>
        </w:tc>
      </w:tr>
      <w:tr w:rsidR="000D6D5B" w14:paraId="058818BA" w14:textId="77777777" w:rsidTr="004649E7">
        <w:tc>
          <w:tcPr>
            <w:tcW w:w="3020" w:type="dxa"/>
          </w:tcPr>
          <w:p w14:paraId="483D6A74" w14:textId="77777777" w:rsidR="000D6D5B" w:rsidRDefault="000D6D5B" w:rsidP="004649E7"/>
        </w:tc>
        <w:tc>
          <w:tcPr>
            <w:tcW w:w="3021" w:type="dxa"/>
          </w:tcPr>
          <w:p w14:paraId="7729BC2E" w14:textId="77777777" w:rsidR="000D6D5B" w:rsidRDefault="000D6D5B" w:rsidP="004649E7"/>
        </w:tc>
        <w:tc>
          <w:tcPr>
            <w:tcW w:w="3021" w:type="dxa"/>
          </w:tcPr>
          <w:p w14:paraId="17251AF6" w14:textId="77777777" w:rsidR="000D6D5B" w:rsidRDefault="000D6D5B" w:rsidP="004649E7"/>
        </w:tc>
      </w:tr>
      <w:tr w:rsidR="000D6D5B" w14:paraId="73F930C9" w14:textId="77777777" w:rsidTr="004649E7">
        <w:tc>
          <w:tcPr>
            <w:tcW w:w="3020" w:type="dxa"/>
          </w:tcPr>
          <w:p w14:paraId="51294460" w14:textId="77777777" w:rsidR="000D6D5B" w:rsidRDefault="000D6D5B" w:rsidP="004649E7"/>
        </w:tc>
        <w:tc>
          <w:tcPr>
            <w:tcW w:w="3021" w:type="dxa"/>
          </w:tcPr>
          <w:p w14:paraId="3731088B" w14:textId="77777777" w:rsidR="000D6D5B" w:rsidRDefault="000D6D5B" w:rsidP="004649E7"/>
        </w:tc>
        <w:tc>
          <w:tcPr>
            <w:tcW w:w="3021" w:type="dxa"/>
          </w:tcPr>
          <w:p w14:paraId="6F218506" w14:textId="77777777" w:rsidR="000D6D5B" w:rsidRDefault="000D6D5B" w:rsidP="004649E7"/>
        </w:tc>
      </w:tr>
      <w:tr w:rsidR="000D6D5B" w14:paraId="0B9BA555" w14:textId="77777777" w:rsidTr="004649E7">
        <w:tc>
          <w:tcPr>
            <w:tcW w:w="3020" w:type="dxa"/>
          </w:tcPr>
          <w:p w14:paraId="39D187BB" w14:textId="77777777" w:rsidR="000D6D5B" w:rsidRDefault="000D6D5B" w:rsidP="004649E7"/>
        </w:tc>
        <w:tc>
          <w:tcPr>
            <w:tcW w:w="3021" w:type="dxa"/>
          </w:tcPr>
          <w:p w14:paraId="3650DC63" w14:textId="77777777" w:rsidR="000D6D5B" w:rsidRDefault="000D6D5B" w:rsidP="004649E7"/>
        </w:tc>
        <w:tc>
          <w:tcPr>
            <w:tcW w:w="3021" w:type="dxa"/>
          </w:tcPr>
          <w:p w14:paraId="5723986E" w14:textId="77777777" w:rsidR="000D6D5B" w:rsidRDefault="000D6D5B" w:rsidP="004649E7"/>
        </w:tc>
      </w:tr>
      <w:tr w:rsidR="000D6D5B" w14:paraId="29CB97CC" w14:textId="77777777" w:rsidTr="004649E7">
        <w:tc>
          <w:tcPr>
            <w:tcW w:w="3020" w:type="dxa"/>
          </w:tcPr>
          <w:p w14:paraId="6D225A89" w14:textId="77777777" w:rsidR="000D6D5B" w:rsidRDefault="000D6D5B" w:rsidP="004649E7"/>
        </w:tc>
        <w:tc>
          <w:tcPr>
            <w:tcW w:w="3021" w:type="dxa"/>
          </w:tcPr>
          <w:p w14:paraId="59F81D7F" w14:textId="77777777" w:rsidR="000D6D5B" w:rsidRDefault="000D6D5B" w:rsidP="004649E7"/>
        </w:tc>
        <w:tc>
          <w:tcPr>
            <w:tcW w:w="3021" w:type="dxa"/>
          </w:tcPr>
          <w:p w14:paraId="1E90885A" w14:textId="77777777" w:rsidR="000D6D5B" w:rsidRDefault="000D6D5B" w:rsidP="004649E7"/>
        </w:tc>
      </w:tr>
      <w:tr w:rsidR="000D6D5B" w14:paraId="442120C7" w14:textId="77777777" w:rsidTr="004649E7">
        <w:tc>
          <w:tcPr>
            <w:tcW w:w="3020" w:type="dxa"/>
          </w:tcPr>
          <w:p w14:paraId="028B424F" w14:textId="77777777" w:rsidR="000D6D5B" w:rsidRDefault="000D6D5B" w:rsidP="004649E7"/>
        </w:tc>
        <w:tc>
          <w:tcPr>
            <w:tcW w:w="3021" w:type="dxa"/>
          </w:tcPr>
          <w:p w14:paraId="337B71F8" w14:textId="77777777" w:rsidR="000D6D5B" w:rsidRDefault="000D6D5B" w:rsidP="004649E7"/>
        </w:tc>
        <w:tc>
          <w:tcPr>
            <w:tcW w:w="3021" w:type="dxa"/>
          </w:tcPr>
          <w:p w14:paraId="21D00373" w14:textId="77777777" w:rsidR="000D6D5B" w:rsidRDefault="000D6D5B" w:rsidP="004649E7"/>
        </w:tc>
      </w:tr>
      <w:tr w:rsidR="000D6D5B" w14:paraId="33D86164" w14:textId="77777777" w:rsidTr="004649E7">
        <w:tc>
          <w:tcPr>
            <w:tcW w:w="3020" w:type="dxa"/>
          </w:tcPr>
          <w:p w14:paraId="45F34F81" w14:textId="77777777" w:rsidR="000D6D5B" w:rsidRDefault="000D6D5B" w:rsidP="004649E7"/>
        </w:tc>
        <w:tc>
          <w:tcPr>
            <w:tcW w:w="3021" w:type="dxa"/>
          </w:tcPr>
          <w:p w14:paraId="223DE035" w14:textId="77777777" w:rsidR="000D6D5B" w:rsidRDefault="000D6D5B" w:rsidP="004649E7"/>
        </w:tc>
        <w:tc>
          <w:tcPr>
            <w:tcW w:w="3021" w:type="dxa"/>
          </w:tcPr>
          <w:p w14:paraId="3ACF0AA6" w14:textId="77777777" w:rsidR="000D6D5B" w:rsidRDefault="000D6D5B" w:rsidP="004649E7"/>
        </w:tc>
      </w:tr>
      <w:tr w:rsidR="000D6D5B" w14:paraId="60254FBC" w14:textId="77777777" w:rsidTr="004649E7">
        <w:tc>
          <w:tcPr>
            <w:tcW w:w="3020" w:type="dxa"/>
          </w:tcPr>
          <w:p w14:paraId="0F1D0010" w14:textId="77777777" w:rsidR="000D6D5B" w:rsidRDefault="000D6D5B" w:rsidP="004649E7"/>
        </w:tc>
        <w:tc>
          <w:tcPr>
            <w:tcW w:w="3021" w:type="dxa"/>
          </w:tcPr>
          <w:p w14:paraId="66982B45" w14:textId="77777777" w:rsidR="000D6D5B" w:rsidRDefault="000D6D5B" w:rsidP="004649E7"/>
        </w:tc>
        <w:tc>
          <w:tcPr>
            <w:tcW w:w="3021" w:type="dxa"/>
          </w:tcPr>
          <w:p w14:paraId="76C0DE83" w14:textId="77777777" w:rsidR="000D6D5B" w:rsidRDefault="000D6D5B" w:rsidP="004649E7"/>
        </w:tc>
      </w:tr>
    </w:tbl>
    <w:p w14:paraId="1270BACA" w14:textId="77777777" w:rsidR="000D6D5B" w:rsidRDefault="000D6D5B" w:rsidP="000D6D5B"/>
    <w:p w14:paraId="09BA828C" w14:textId="77777777" w:rsidR="000D6D5B" w:rsidRDefault="000D6D5B" w:rsidP="000D6D5B">
      <w:pPr>
        <w:rPr>
          <w:b/>
          <w:bCs/>
        </w:rPr>
      </w:pPr>
      <w:r w:rsidRPr="007743F0">
        <w:rPr>
          <w:b/>
          <w:bCs/>
        </w:rPr>
        <w:t>How can we implement DEs?</w:t>
      </w:r>
    </w:p>
    <w:p w14:paraId="532ED9F3" w14:textId="77777777" w:rsidR="000D6D5B" w:rsidRPr="00F82C0F" w:rsidRDefault="000D6D5B" w:rsidP="000D6D5B">
      <w:r w:rsidRPr="00F82C0F">
        <w:t xml:space="preserve">The risks associated with designing an exhaustive DE on paper, though failing in its concrete implementation and sustainment due to a limited understanding of all the dimensions that affect its </w:t>
      </w:r>
      <w:r w:rsidRPr="00F82C0F">
        <w:lastRenderedPageBreak/>
        <w:t xml:space="preserve">success, are </w:t>
      </w:r>
      <w:r>
        <w:t>ver</w:t>
      </w:r>
      <w:r w:rsidRPr="00F82C0F">
        <w:t>y high. Ageing populations and constraints in available resources (human resources, technologies, physical settings, budget, etc.) make it fundamental not only to design but also to implement DEs correctly if healthcare systems are to be sustainable and effective in the long run.</w:t>
      </w:r>
    </w:p>
    <w:p w14:paraId="476C15BF" w14:textId="77777777" w:rsidR="000D6D5B" w:rsidRPr="00CF0CBD" w:rsidRDefault="000D6D5B" w:rsidP="000D6D5B">
      <w:pPr>
        <w:pStyle w:val="Listaszerbekezds"/>
        <w:numPr>
          <w:ilvl w:val="0"/>
          <w:numId w:val="17"/>
        </w:numPr>
        <w:rPr>
          <w:rStyle w:val="Hiperhivatkozs"/>
          <w:rFonts w:cstheme="minorHAnsi"/>
          <w:i/>
          <w:iCs/>
          <w:color w:val="auto"/>
          <w:u w:val="none"/>
        </w:rPr>
      </w:pPr>
      <w:r w:rsidRPr="00CF0CBD">
        <w:rPr>
          <w:rStyle w:val="Hiperhivatkozs"/>
          <w:rFonts w:cstheme="minorHAnsi"/>
          <w:i/>
          <w:iCs/>
          <w:color w:val="auto"/>
          <w:u w:val="none"/>
        </w:rPr>
        <w:t xml:space="preserve">Which </w:t>
      </w:r>
      <w:r>
        <w:rPr>
          <w:rStyle w:val="Hiperhivatkozs"/>
          <w:rFonts w:cstheme="minorHAnsi"/>
          <w:i/>
          <w:iCs/>
          <w:color w:val="auto"/>
          <w:u w:val="none"/>
        </w:rPr>
        <w:t>managerial domains should be assessed to implement DEs effectively?</w:t>
      </w:r>
    </w:p>
    <w:p w14:paraId="188B0B65" w14:textId="77777777" w:rsidR="000D6D5B" w:rsidRDefault="000D6D5B" w:rsidP="000D6D5B">
      <w:pPr>
        <w:rPr>
          <w:rStyle w:val="Hiperhivatkozs"/>
          <w:rFonts w:cstheme="minorHAnsi"/>
          <w:b/>
          <w:bCs/>
          <w:color w:val="auto"/>
          <w:u w:val="none"/>
        </w:rPr>
      </w:pPr>
      <w:r w:rsidRPr="005316E1">
        <w:rPr>
          <w:rFonts w:cstheme="minorHAnsi"/>
          <w:b/>
          <w:bCs/>
          <w:noProof/>
        </w:rPr>
        <w:drawing>
          <wp:inline distT="0" distB="0" distL="0" distR="0" wp14:anchorId="50AEA5E0" wp14:editId="571E58EB">
            <wp:extent cx="5843587" cy="4538662"/>
            <wp:effectExtent l="0" t="0" r="5080" b="14605"/>
            <wp:docPr id="597908059" name="Grafico 1">
              <a:extLst xmlns:a="http://schemas.openxmlformats.org/drawingml/2006/main">
                <a:ext uri="{FF2B5EF4-FFF2-40B4-BE49-F238E27FC236}">
                  <a16:creationId xmlns:a16="http://schemas.microsoft.com/office/drawing/2014/main" id="{515316DD-8229-ACF3-EF68-4647DEF5DB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Rcsostblzat"/>
        <w:tblW w:w="0" w:type="auto"/>
        <w:tblLook w:val="04A0" w:firstRow="1" w:lastRow="0" w:firstColumn="1" w:lastColumn="0" w:noHBand="0" w:noVBand="1"/>
      </w:tblPr>
      <w:tblGrid>
        <w:gridCol w:w="3823"/>
        <w:gridCol w:w="5239"/>
      </w:tblGrid>
      <w:tr w:rsidR="000D6D5B" w14:paraId="462A0696" w14:textId="77777777" w:rsidTr="004649E7">
        <w:tc>
          <w:tcPr>
            <w:tcW w:w="3823" w:type="dxa"/>
          </w:tcPr>
          <w:p w14:paraId="2940CE5A" w14:textId="77777777" w:rsidR="000D6D5B" w:rsidRDefault="000D6D5B" w:rsidP="004649E7">
            <w:pPr>
              <w:jc w:val="both"/>
              <w:rPr>
                <w:b/>
                <w:bCs/>
              </w:rPr>
            </w:pPr>
            <w:r>
              <w:rPr>
                <w:b/>
                <w:bCs/>
              </w:rPr>
              <w:t>D</w:t>
            </w:r>
            <w:r w:rsidRPr="008435A6">
              <w:rPr>
                <w:b/>
                <w:bCs/>
              </w:rPr>
              <w:t>omain</w:t>
            </w:r>
          </w:p>
        </w:tc>
        <w:tc>
          <w:tcPr>
            <w:tcW w:w="5239" w:type="dxa"/>
          </w:tcPr>
          <w:p w14:paraId="36391010" w14:textId="77777777" w:rsidR="000D6D5B" w:rsidRDefault="000D6D5B" w:rsidP="004649E7">
            <w:pPr>
              <w:jc w:val="both"/>
              <w:rPr>
                <w:b/>
                <w:bCs/>
              </w:rPr>
            </w:pPr>
            <w:r>
              <w:rPr>
                <w:b/>
                <w:bCs/>
              </w:rPr>
              <w:t>M</w:t>
            </w:r>
            <w:r w:rsidRPr="008435A6">
              <w:rPr>
                <w:b/>
                <w:bCs/>
              </w:rPr>
              <w:t>eaning</w:t>
            </w:r>
          </w:p>
        </w:tc>
      </w:tr>
      <w:tr w:rsidR="000D6D5B" w14:paraId="3CCD1954" w14:textId="77777777" w:rsidTr="004649E7">
        <w:tc>
          <w:tcPr>
            <w:tcW w:w="3823" w:type="dxa"/>
          </w:tcPr>
          <w:p w14:paraId="554B7AFD" w14:textId="77777777" w:rsidR="000D6D5B" w:rsidRPr="00970B67" w:rsidRDefault="000D6D5B" w:rsidP="004649E7">
            <w:pPr>
              <w:jc w:val="both"/>
            </w:pPr>
            <w:r w:rsidRPr="00970B67">
              <w:t>Regulatory framework</w:t>
            </w:r>
          </w:p>
        </w:tc>
        <w:tc>
          <w:tcPr>
            <w:tcW w:w="5239" w:type="dxa"/>
          </w:tcPr>
          <w:p w14:paraId="4BBA1539" w14:textId="77777777" w:rsidR="000D6D5B" w:rsidRDefault="000D6D5B" w:rsidP="004649E7">
            <w:pPr>
              <w:jc w:val="both"/>
              <w:rPr>
                <w:b/>
                <w:bCs/>
              </w:rPr>
            </w:pPr>
          </w:p>
        </w:tc>
      </w:tr>
      <w:tr w:rsidR="000D6D5B" w14:paraId="3B9A6CDE" w14:textId="77777777" w:rsidTr="004649E7">
        <w:tc>
          <w:tcPr>
            <w:tcW w:w="3823" w:type="dxa"/>
          </w:tcPr>
          <w:p w14:paraId="23517B64" w14:textId="77777777" w:rsidR="000D6D5B" w:rsidRPr="00970B67" w:rsidRDefault="000D6D5B" w:rsidP="004649E7">
            <w:pPr>
              <w:jc w:val="both"/>
            </w:pPr>
            <w:r>
              <w:t>G</w:t>
            </w:r>
            <w:r w:rsidRPr="00970B67">
              <w:t>overnance and leadership</w:t>
            </w:r>
          </w:p>
        </w:tc>
        <w:tc>
          <w:tcPr>
            <w:tcW w:w="5239" w:type="dxa"/>
          </w:tcPr>
          <w:p w14:paraId="07F776EF" w14:textId="77777777" w:rsidR="000D6D5B" w:rsidRDefault="000D6D5B" w:rsidP="004649E7">
            <w:pPr>
              <w:jc w:val="both"/>
              <w:rPr>
                <w:b/>
                <w:bCs/>
              </w:rPr>
            </w:pPr>
          </w:p>
        </w:tc>
      </w:tr>
      <w:tr w:rsidR="000D6D5B" w14:paraId="0F7C7BB3" w14:textId="77777777" w:rsidTr="004649E7">
        <w:tc>
          <w:tcPr>
            <w:tcW w:w="3823" w:type="dxa"/>
          </w:tcPr>
          <w:p w14:paraId="2E4F4369" w14:textId="77777777" w:rsidR="000D6D5B" w:rsidRPr="00970B67" w:rsidRDefault="000D6D5B" w:rsidP="004649E7">
            <w:pPr>
              <w:jc w:val="both"/>
            </w:pPr>
            <w:r w:rsidRPr="00970B67">
              <w:t>Technological and digital infrastructures</w:t>
            </w:r>
          </w:p>
        </w:tc>
        <w:tc>
          <w:tcPr>
            <w:tcW w:w="5239" w:type="dxa"/>
          </w:tcPr>
          <w:p w14:paraId="31D9E6EA" w14:textId="77777777" w:rsidR="000D6D5B" w:rsidRDefault="000D6D5B" w:rsidP="004649E7">
            <w:pPr>
              <w:jc w:val="both"/>
              <w:rPr>
                <w:b/>
                <w:bCs/>
              </w:rPr>
            </w:pPr>
          </w:p>
        </w:tc>
      </w:tr>
      <w:tr w:rsidR="000D6D5B" w14:paraId="2634078C" w14:textId="77777777" w:rsidTr="004649E7">
        <w:tc>
          <w:tcPr>
            <w:tcW w:w="3823" w:type="dxa"/>
          </w:tcPr>
          <w:p w14:paraId="35A22997" w14:textId="77777777" w:rsidR="000D6D5B" w:rsidRPr="00970B67" w:rsidRDefault="000D6D5B" w:rsidP="004649E7">
            <w:pPr>
              <w:jc w:val="both"/>
            </w:pPr>
            <w:r w:rsidRPr="00970B67">
              <w:t>Process coordination</w:t>
            </w:r>
          </w:p>
        </w:tc>
        <w:tc>
          <w:tcPr>
            <w:tcW w:w="5239" w:type="dxa"/>
          </w:tcPr>
          <w:p w14:paraId="29225C1A" w14:textId="77777777" w:rsidR="000D6D5B" w:rsidRDefault="000D6D5B" w:rsidP="004649E7">
            <w:pPr>
              <w:jc w:val="both"/>
              <w:rPr>
                <w:b/>
                <w:bCs/>
              </w:rPr>
            </w:pPr>
          </w:p>
        </w:tc>
      </w:tr>
      <w:tr w:rsidR="000D6D5B" w14:paraId="4AFCAB4E" w14:textId="77777777" w:rsidTr="004649E7">
        <w:tc>
          <w:tcPr>
            <w:tcW w:w="3823" w:type="dxa"/>
          </w:tcPr>
          <w:p w14:paraId="35123EE1" w14:textId="77777777" w:rsidR="000D6D5B" w:rsidRPr="00970B67" w:rsidRDefault="000D6D5B" w:rsidP="004649E7">
            <w:pPr>
              <w:jc w:val="both"/>
            </w:pPr>
            <w:bookmarkStart w:id="0" w:name="_Hlk173863778"/>
            <w:r>
              <w:t>Funding</w:t>
            </w:r>
          </w:p>
        </w:tc>
        <w:tc>
          <w:tcPr>
            <w:tcW w:w="5239" w:type="dxa"/>
          </w:tcPr>
          <w:p w14:paraId="18032059" w14:textId="77777777" w:rsidR="000D6D5B" w:rsidRDefault="000D6D5B" w:rsidP="004649E7">
            <w:pPr>
              <w:jc w:val="both"/>
              <w:rPr>
                <w:b/>
                <w:bCs/>
              </w:rPr>
            </w:pPr>
          </w:p>
        </w:tc>
      </w:tr>
      <w:tr w:rsidR="000D6D5B" w14:paraId="1D5988B3" w14:textId="77777777" w:rsidTr="004649E7">
        <w:tc>
          <w:tcPr>
            <w:tcW w:w="3823" w:type="dxa"/>
          </w:tcPr>
          <w:p w14:paraId="5A44B949" w14:textId="77777777" w:rsidR="000D6D5B" w:rsidRPr="00970B67" w:rsidRDefault="000D6D5B" w:rsidP="004649E7">
            <w:pPr>
              <w:jc w:val="both"/>
            </w:pPr>
            <w:r w:rsidRPr="00970B67">
              <w:t>Performance evaluation methods</w:t>
            </w:r>
          </w:p>
        </w:tc>
        <w:tc>
          <w:tcPr>
            <w:tcW w:w="5239" w:type="dxa"/>
          </w:tcPr>
          <w:p w14:paraId="1984F938" w14:textId="77777777" w:rsidR="000D6D5B" w:rsidRDefault="000D6D5B" w:rsidP="004649E7">
            <w:pPr>
              <w:jc w:val="both"/>
              <w:rPr>
                <w:b/>
                <w:bCs/>
              </w:rPr>
            </w:pPr>
          </w:p>
        </w:tc>
      </w:tr>
      <w:tr w:rsidR="000D6D5B" w14:paraId="12A1D08D" w14:textId="77777777" w:rsidTr="004649E7">
        <w:tc>
          <w:tcPr>
            <w:tcW w:w="3823" w:type="dxa"/>
          </w:tcPr>
          <w:p w14:paraId="0EDE0D14" w14:textId="77777777" w:rsidR="000D6D5B" w:rsidRPr="00970B67" w:rsidRDefault="000D6D5B" w:rsidP="004649E7">
            <w:pPr>
              <w:jc w:val="both"/>
            </w:pPr>
            <w:r>
              <w:t>Professionals</w:t>
            </w:r>
          </w:p>
        </w:tc>
        <w:tc>
          <w:tcPr>
            <w:tcW w:w="5239" w:type="dxa"/>
          </w:tcPr>
          <w:p w14:paraId="77A867C4" w14:textId="77777777" w:rsidR="000D6D5B" w:rsidRDefault="000D6D5B" w:rsidP="004649E7">
            <w:pPr>
              <w:jc w:val="both"/>
              <w:rPr>
                <w:b/>
                <w:bCs/>
              </w:rPr>
            </w:pPr>
          </w:p>
        </w:tc>
      </w:tr>
      <w:bookmarkEnd w:id="0"/>
      <w:tr w:rsidR="000D6D5B" w14:paraId="49E78A26" w14:textId="77777777" w:rsidTr="004649E7">
        <w:tc>
          <w:tcPr>
            <w:tcW w:w="3823" w:type="dxa"/>
          </w:tcPr>
          <w:p w14:paraId="64CA7EEC" w14:textId="77777777" w:rsidR="000D6D5B" w:rsidRPr="00970B67" w:rsidRDefault="000D6D5B" w:rsidP="004649E7">
            <w:pPr>
              <w:jc w:val="both"/>
            </w:pPr>
            <w:r>
              <w:t>Patients and Caregivers</w:t>
            </w:r>
          </w:p>
        </w:tc>
        <w:tc>
          <w:tcPr>
            <w:tcW w:w="5239" w:type="dxa"/>
          </w:tcPr>
          <w:p w14:paraId="47740B6F" w14:textId="77777777" w:rsidR="000D6D5B" w:rsidRDefault="000D6D5B" w:rsidP="004649E7">
            <w:pPr>
              <w:jc w:val="both"/>
              <w:rPr>
                <w:b/>
                <w:bCs/>
              </w:rPr>
            </w:pPr>
          </w:p>
        </w:tc>
      </w:tr>
      <w:tr w:rsidR="000D6D5B" w14:paraId="2F281BFA" w14:textId="77777777" w:rsidTr="004649E7">
        <w:tc>
          <w:tcPr>
            <w:tcW w:w="3823" w:type="dxa"/>
          </w:tcPr>
          <w:p w14:paraId="52ABB210" w14:textId="77777777" w:rsidR="000D6D5B" w:rsidRPr="00970B67" w:rsidRDefault="000D6D5B" w:rsidP="004649E7">
            <w:pPr>
              <w:jc w:val="both"/>
            </w:pPr>
            <w:r w:rsidRPr="00AF3BF2">
              <w:rPr>
                <w:lang w:val="en-GB"/>
              </w:rPr>
              <w:t>Physician</w:t>
            </w:r>
            <w:r w:rsidRPr="00970B67">
              <w:t>-patient relationship</w:t>
            </w:r>
          </w:p>
        </w:tc>
        <w:tc>
          <w:tcPr>
            <w:tcW w:w="5239" w:type="dxa"/>
          </w:tcPr>
          <w:p w14:paraId="1FDAFCFC" w14:textId="77777777" w:rsidR="000D6D5B" w:rsidRDefault="000D6D5B" w:rsidP="004649E7">
            <w:pPr>
              <w:jc w:val="both"/>
              <w:rPr>
                <w:b/>
                <w:bCs/>
              </w:rPr>
            </w:pPr>
          </w:p>
        </w:tc>
      </w:tr>
      <w:tr w:rsidR="000D6D5B" w14:paraId="14884E3E" w14:textId="77777777" w:rsidTr="004649E7">
        <w:tc>
          <w:tcPr>
            <w:tcW w:w="3823" w:type="dxa"/>
          </w:tcPr>
          <w:p w14:paraId="30C603CA" w14:textId="77777777" w:rsidR="000D6D5B" w:rsidRPr="00AF3BF2" w:rsidRDefault="000D6D5B" w:rsidP="004649E7">
            <w:pPr>
              <w:jc w:val="both"/>
              <w:rPr>
                <w:lang w:val="it-IT"/>
              </w:rPr>
            </w:pPr>
            <w:r w:rsidRPr="00AF3BF2">
              <w:t>Breadth of ambition</w:t>
            </w:r>
          </w:p>
        </w:tc>
        <w:tc>
          <w:tcPr>
            <w:tcW w:w="5239" w:type="dxa"/>
          </w:tcPr>
          <w:p w14:paraId="378C182D" w14:textId="77777777" w:rsidR="000D6D5B" w:rsidRDefault="000D6D5B" w:rsidP="004649E7">
            <w:pPr>
              <w:jc w:val="both"/>
              <w:rPr>
                <w:b/>
                <w:bCs/>
              </w:rPr>
            </w:pPr>
          </w:p>
        </w:tc>
      </w:tr>
    </w:tbl>
    <w:p w14:paraId="2D8B364B" w14:textId="77777777" w:rsidR="000D6D5B" w:rsidRDefault="000D6D5B" w:rsidP="000D6D5B">
      <w:pPr>
        <w:rPr>
          <w:rStyle w:val="Hiperhivatkozs"/>
          <w:rFonts w:cstheme="minorHAnsi"/>
          <w:b/>
          <w:bCs/>
          <w:color w:val="auto"/>
          <w:u w:val="none"/>
        </w:rPr>
      </w:pPr>
    </w:p>
    <w:p w14:paraId="3A88FA5D" w14:textId="156CEC73" w:rsidR="00F105EE" w:rsidRPr="000D6D5B" w:rsidRDefault="00F105EE" w:rsidP="000D6D5B"/>
    <w:sectPr w:rsidR="00F105EE" w:rsidRPr="000D6D5B"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18E0" w14:textId="77777777" w:rsidR="00F5461A" w:rsidRDefault="00F5461A" w:rsidP="00CA38A2">
      <w:pPr>
        <w:spacing w:after="0" w:line="240" w:lineRule="auto"/>
      </w:pPr>
      <w:r>
        <w:separator/>
      </w:r>
    </w:p>
  </w:endnote>
  <w:endnote w:type="continuationSeparator" w:id="0">
    <w:p w14:paraId="7CEA4E86" w14:textId="77777777" w:rsidR="00F5461A" w:rsidRDefault="00F5461A"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7246" w14:textId="77777777" w:rsidR="00F5461A" w:rsidRDefault="00F5461A" w:rsidP="00CA38A2">
      <w:pPr>
        <w:spacing w:after="0" w:line="240" w:lineRule="auto"/>
      </w:pPr>
      <w:r>
        <w:separator/>
      </w:r>
    </w:p>
  </w:footnote>
  <w:footnote w:type="continuationSeparator" w:id="0">
    <w:p w14:paraId="185DA50A" w14:textId="77777777" w:rsidR="00F5461A" w:rsidRDefault="00F5461A"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860B67"/>
    <w:multiLevelType w:val="hybridMultilevel"/>
    <w:tmpl w:val="791A6978"/>
    <w:lvl w:ilvl="0" w:tplc="A8C292CA">
      <w:start w:val="1"/>
      <w:numFmt w:val="decimal"/>
      <w:lvlText w:val="%1)"/>
      <w:lvlJc w:val="left"/>
      <w:pPr>
        <w:ind w:left="720" w:hanging="360"/>
      </w:pPr>
      <w:rPr>
        <w:rFonts w:asciiTheme="minorHAnsi" w:eastAsiaTheme="minorHAnsi" w:hAnsiTheme="minorHAnsi" w:cstheme="minorBid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20981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0D6D5B"/>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47758B"/>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54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D6D5B"/>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3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1.5700575022522114E-2"/>
          <c:w val="0.96928918420905685"/>
          <c:h val="0.95065533564350191"/>
        </c:manualLayout>
      </c:layout>
      <c:pie3DChart>
        <c:varyColors val="1"/>
        <c:ser>
          <c:idx val="0"/>
          <c:order val="0"/>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1-DEF1-4649-B2E9-36F58D3BDE3C}"/>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3-DEF1-4649-B2E9-36F58D3BDE3C}"/>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5-DEF1-4649-B2E9-36F58D3BDE3C}"/>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7-DEF1-4649-B2E9-36F58D3BDE3C}"/>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09-DEF1-4649-B2E9-36F58D3BDE3C}"/>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0B-DEF1-4649-B2E9-36F58D3BDE3C}"/>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c:ext xmlns:c16="http://schemas.microsoft.com/office/drawing/2014/chart" uri="{C3380CC4-5D6E-409C-BE32-E72D297353CC}">
                <c16:uniqueId val="{0000000D-DEF1-4649-B2E9-36F58D3BDE3C}"/>
              </c:ext>
            </c:extLst>
          </c:dPt>
          <c:dPt>
            <c:idx val="7"/>
            <c:bubble3D val="0"/>
            <c:spPr>
              <a:solidFill>
                <a:schemeClr val="accent2">
                  <a:lumMod val="60000"/>
                  <a:alpha val="90000"/>
                </a:schemeClr>
              </a:solidFill>
              <a:ln w="19050">
                <a:solidFill>
                  <a:schemeClr val="accent2">
                    <a:lumMod val="60000"/>
                    <a:lumMod val="75000"/>
                  </a:schemeClr>
                </a:solidFill>
              </a:ln>
              <a:effectLst>
                <a:innerShdw blurRad="114300">
                  <a:schemeClr val="accent2">
                    <a:lumMod val="60000"/>
                    <a:lumMod val="75000"/>
                  </a:schemeClr>
                </a:innerShdw>
              </a:effectLst>
              <a:scene3d>
                <a:camera prst="orthographicFront"/>
                <a:lightRig rig="threePt" dir="t"/>
              </a:scene3d>
              <a:sp3d contourW="19050" prstMaterial="flat">
                <a:contourClr>
                  <a:schemeClr val="accent2">
                    <a:lumMod val="60000"/>
                    <a:lumMod val="75000"/>
                  </a:schemeClr>
                </a:contourClr>
              </a:sp3d>
            </c:spPr>
            <c:extLst>
              <c:ext xmlns:c16="http://schemas.microsoft.com/office/drawing/2014/chart" uri="{C3380CC4-5D6E-409C-BE32-E72D297353CC}">
                <c16:uniqueId val="{0000000F-DEF1-4649-B2E9-36F58D3BDE3C}"/>
              </c:ext>
            </c:extLst>
          </c:dPt>
          <c:dPt>
            <c:idx val="8"/>
            <c:bubble3D val="0"/>
            <c:spPr>
              <a:solidFill>
                <a:schemeClr val="accent3">
                  <a:lumMod val="60000"/>
                  <a:alpha val="90000"/>
                </a:schemeClr>
              </a:solidFill>
              <a:ln w="19050">
                <a:solidFill>
                  <a:schemeClr val="accent3">
                    <a:lumMod val="60000"/>
                    <a:lumMod val="75000"/>
                  </a:schemeClr>
                </a:solidFill>
              </a:ln>
              <a:effectLst>
                <a:innerShdw blurRad="114300">
                  <a:schemeClr val="accent3">
                    <a:lumMod val="60000"/>
                    <a:lumMod val="75000"/>
                  </a:schemeClr>
                </a:innerShdw>
              </a:effectLst>
              <a:scene3d>
                <a:camera prst="orthographicFront"/>
                <a:lightRig rig="threePt" dir="t"/>
              </a:scene3d>
              <a:sp3d contourW="19050" prstMaterial="flat">
                <a:contourClr>
                  <a:schemeClr val="accent3">
                    <a:lumMod val="60000"/>
                    <a:lumMod val="75000"/>
                  </a:schemeClr>
                </a:contourClr>
              </a:sp3d>
            </c:spPr>
            <c:extLst>
              <c:ext xmlns:c16="http://schemas.microsoft.com/office/drawing/2014/chart" uri="{C3380CC4-5D6E-409C-BE32-E72D297353CC}">
                <c16:uniqueId val="{00000011-DEF1-4649-B2E9-36F58D3BDE3C}"/>
              </c:ext>
            </c:extLst>
          </c:dPt>
          <c:dPt>
            <c:idx val="9"/>
            <c:bubble3D val="0"/>
            <c:spPr>
              <a:solidFill>
                <a:schemeClr val="accent4">
                  <a:lumMod val="60000"/>
                  <a:alpha val="90000"/>
                </a:schemeClr>
              </a:solidFill>
              <a:ln w="19050">
                <a:solidFill>
                  <a:schemeClr val="accent4">
                    <a:lumMod val="60000"/>
                    <a:lumMod val="75000"/>
                  </a:schemeClr>
                </a:solidFill>
              </a:ln>
              <a:effectLst>
                <a:innerShdw blurRad="114300">
                  <a:schemeClr val="accent4">
                    <a:lumMod val="60000"/>
                    <a:lumMod val="75000"/>
                  </a:schemeClr>
                </a:innerShdw>
              </a:effectLst>
              <a:scene3d>
                <a:camera prst="orthographicFront"/>
                <a:lightRig rig="threePt" dir="t"/>
              </a:scene3d>
              <a:sp3d contourW="19050" prstMaterial="flat">
                <a:contourClr>
                  <a:schemeClr val="accent4">
                    <a:lumMod val="60000"/>
                    <a:lumMod val="75000"/>
                  </a:schemeClr>
                </a:contourClr>
              </a:sp3d>
            </c:spPr>
            <c:extLst>
              <c:ext xmlns:c16="http://schemas.microsoft.com/office/drawing/2014/chart" uri="{C3380CC4-5D6E-409C-BE32-E72D297353CC}">
                <c16:uniqueId val="{00000013-DEF1-4649-B2E9-36F58D3BDE3C}"/>
              </c:ext>
            </c:extLst>
          </c:dPt>
          <c:dLbls>
            <c:dLbl>
              <c:idx val="0"/>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Regulatory framework</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DEF1-4649-B2E9-36F58D3BDE3C}"/>
                </c:ext>
              </c:extLst>
            </c:dLbl>
            <c:dLbl>
              <c:idx val="1"/>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Governance and Leadership</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EF1-4649-B2E9-36F58D3BDE3C}"/>
                </c:ext>
              </c:extLst>
            </c:dLbl>
            <c:dLbl>
              <c:idx val="2"/>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dirty="0" err="1"/>
                      <a:t>Technological and digital infrastructures</a:t>
                    </a:r>
                    <a:endParaRPr lang="en-US" dirty="0"/>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DEF1-4649-B2E9-36F58D3BDE3C}"/>
                </c:ext>
              </c:extLst>
            </c:dLbl>
            <c:dLbl>
              <c:idx val="3"/>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Process coordination</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DEF1-4649-B2E9-36F58D3BDE3C}"/>
                </c:ext>
              </c:extLst>
            </c:dLbl>
            <c:dLbl>
              <c:idx val="4"/>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Funding</a:t>
                    </a:r>
                  </a:p>
                </c:rich>
              </c:tx>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DEF1-4649-B2E9-36F58D3BDE3C}"/>
                </c:ext>
              </c:extLst>
            </c:dLbl>
            <c:dLbl>
              <c:idx val="5"/>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Performance Evaluation</a:t>
                    </a:r>
                    <a:r>
                      <a:rPr lang="en-US" baseline="0"/>
                      <a:t> Methods</a:t>
                    </a:r>
                    <a:endParaRPr lang="en-US"/>
                  </a:p>
                </c:rich>
              </c:tx>
              <c:spPr>
                <a:solidFill>
                  <a:schemeClr val="lt1">
                    <a:alpha val="90000"/>
                  </a:schemeClr>
                </a:solidFill>
                <a:ln w="12700" cap="flat" cmpd="sng" algn="ctr">
                  <a:solidFill>
                    <a:schemeClr val="accent6"/>
                  </a:solidFill>
                  <a:round/>
                </a:ln>
                <a:effectLst>
                  <a:outerShdw blurRad="50800" dist="38100" dir="2700000" algn="tl" rotWithShape="0">
                    <a:schemeClr val="accent6">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en-US"/>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DEF1-4649-B2E9-36F58D3BDE3C}"/>
                </c:ext>
              </c:extLst>
            </c:dLbl>
            <c:dLbl>
              <c:idx val="6"/>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Professionals</a:t>
                    </a:r>
                  </a:p>
                </c:rich>
              </c:tx>
              <c:spPr>
                <a:solidFill>
                  <a:schemeClr val="lt1">
                    <a:alpha val="90000"/>
                  </a:schemeClr>
                </a:solidFill>
                <a:ln w="12700" cap="flat" cmpd="sng" algn="ctr">
                  <a:solidFill>
                    <a:schemeClr val="accent1">
                      <a:lumMod val="60000"/>
                    </a:schemeClr>
                  </a:solidFill>
                  <a:round/>
                </a:ln>
                <a:effectLst>
                  <a:outerShdw blurRad="50800" dist="38100" dir="2700000" algn="tl" rotWithShape="0">
                    <a:schemeClr val="accent1">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DEF1-4649-B2E9-36F58D3BDE3C}"/>
                </c:ext>
              </c:extLst>
            </c:dLbl>
            <c:dLbl>
              <c:idx val="7"/>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a:t>Patients and caregivers</a:t>
                    </a:r>
                  </a:p>
                </c:rich>
              </c:tx>
              <c:spPr>
                <a:solidFill>
                  <a:schemeClr val="lt1">
                    <a:alpha val="90000"/>
                  </a:schemeClr>
                </a:solidFill>
                <a:ln w="12700" cap="flat" cmpd="sng" algn="ctr">
                  <a:solidFill>
                    <a:schemeClr val="accent2">
                      <a:lumMod val="60000"/>
                    </a:schemeClr>
                  </a:solidFill>
                  <a:round/>
                </a:ln>
                <a:effectLst>
                  <a:outerShdw blurRad="50800" dist="38100" dir="2700000" algn="tl" rotWithShape="0">
                    <a:schemeClr val="accent2">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layout>
                    <c:manualLayout>
                      <c:w val="0.17785264073027604"/>
                      <c:h val="0.10205680705190989"/>
                    </c:manualLayout>
                  </c15:layout>
                  <c15:showDataLabelsRange val="0"/>
                </c:ext>
                <c:ext xmlns:c16="http://schemas.microsoft.com/office/drawing/2014/chart" uri="{C3380CC4-5D6E-409C-BE32-E72D297353CC}">
                  <c16:uniqueId val="{0000000F-DEF1-4649-B2E9-36F58D3BDE3C}"/>
                </c:ext>
              </c:extLst>
            </c:dLbl>
            <c:dLbl>
              <c:idx val="8"/>
              <c:tx>
                <c:rich>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r>
                      <a:rPr lang="en-US" sz="1330" b="0" i="0" u="none" strike="noStrike" kern="1200" baseline="0" dirty="0">
                        <a:solidFill>
                          <a:srgbClr val="5B9BD5"/>
                        </a:solidFill>
                        <a:effectLst/>
                        <a:latin typeface="Calibri" panose="020F0502020204030204" pitchFamily="34" charset="0"/>
                        <a:cs typeface="Calibri" panose="020F0502020204030204" pitchFamily="34" charset="0"/>
                      </a:rPr>
                      <a:t>Physician</a:t>
                    </a:r>
                    <a:r>
                      <a:rPr lang="en-US"/>
                      <a:t>-patient relationship</a:t>
                    </a:r>
                  </a:p>
                </c:rich>
              </c:tx>
              <c:spPr>
                <a:solidFill>
                  <a:schemeClr val="lt1">
                    <a:alpha val="90000"/>
                  </a:schemeClr>
                </a:solidFill>
                <a:ln w="12700" cap="flat" cmpd="sng" algn="ctr">
                  <a:solidFill>
                    <a:schemeClr val="accent3">
                      <a:lumMod val="60000"/>
                    </a:schemeClr>
                  </a:solidFill>
                  <a:round/>
                </a:ln>
                <a:effectLst>
                  <a:outerShdw blurRad="50800" dist="38100" dir="2700000" algn="tl" rotWithShape="0">
                    <a:schemeClr val="accent3">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1330" b="0" i="0" u="none" strike="noStrike" kern="1200" baseline="0">
                      <a:solidFill>
                        <a:schemeClr val="accent1"/>
                      </a:solidFill>
                      <a:effectLst/>
                      <a:latin typeface="+mn-lt"/>
                      <a:ea typeface="+mn-ea"/>
                      <a:cs typeface="+mn-cs"/>
                    </a:defRPr>
                  </a:pPr>
                  <a:endParaRPr lang="hu-HU"/>
                </a:p>
              </c:txPr>
              <c:dLblPos val="inEnd"/>
              <c:showLegendKey val="0"/>
              <c:showVal val="0"/>
              <c:showCatName val="1"/>
              <c:showSerName val="0"/>
              <c:showPercent val="0"/>
              <c:showBubbleSize val="0"/>
              <c:extLst>
                <c:ext xmlns:c15="http://schemas.microsoft.com/office/drawing/2012/chart" uri="{CE6537A1-D6FC-4f65-9D91-7224C49458BB}">
                  <c15:layout>
                    <c:manualLayout>
                      <c:w val="0.20455344353418548"/>
                      <c:h val="0.1470826920386176"/>
                    </c:manualLayout>
                  </c15:layout>
                  <c15:showDataLabelsRange val="0"/>
                </c:ext>
                <c:ext xmlns:c16="http://schemas.microsoft.com/office/drawing/2014/chart" uri="{C3380CC4-5D6E-409C-BE32-E72D297353CC}">
                  <c16:uniqueId val="{00000011-DEF1-4649-B2E9-36F58D3BDE3C}"/>
                </c:ext>
              </c:extLst>
            </c:dLbl>
            <c:dLbl>
              <c:idx val="9"/>
              <c:tx>
                <c:rich>
                  <a:bodyPr rot="0" spcFirstLastPara="1" vertOverflow="clip" horzOverflow="clip"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330" b="0" i="0" u="none" strike="noStrike" kern="1200" baseline="0">
                        <a:solidFill>
                          <a:srgbClr val="FFC000">
                            <a:lumMod val="60000"/>
                          </a:srgbClr>
                        </a:solidFill>
                        <a:effectLst/>
                        <a:latin typeface="+mn-lt"/>
                        <a:ea typeface="+mn-ea"/>
                        <a:cs typeface="+mn-cs"/>
                      </a:defRPr>
                    </a:pPr>
                    <a:r>
                      <a:rPr lang="en-US" sz="1400" dirty="0">
                        <a:latin typeface="Calibri" panose="020F0502020204030204" pitchFamily="34" charset="0"/>
                        <a:cs typeface="Calibri" panose="020F0502020204030204" pitchFamily="34" charset="0"/>
                      </a:rPr>
                      <a:t>Breadth of ambition</a:t>
                    </a:r>
                    <a:endParaRPr lang="en-US" sz="800" dirty="0"/>
                  </a:p>
                </c:rich>
              </c:tx>
              <c:spPr>
                <a:solidFill>
                  <a:schemeClr val="lt1">
                    <a:alpha val="90000"/>
                  </a:schemeClr>
                </a:solidFill>
                <a:ln w="12700" cap="flat" cmpd="sng" algn="ctr">
                  <a:solidFill>
                    <a:schemeClr val="accent4">
                      <a:lumMod val="60000"/>
                    </a:schemeClr>
                  </a:solidFill>
                  <a:round/>
                </a:ln>
                <a:effectLst>
                  <a:outerShdw blurRad="50800" dist="38100" dir="2700000" algn="tl" rotWithShape="0">
                    <a:schemeClr val="accent4">
                      <a:lumMod val="60000"/>
                      <a:lumMod val="75000"/>
                      <a:alpha val="40000"/>
                    </a:schemeClr>
                  </a:outerShdw>
                </a:effectLst>
              </c:spPr>
              <c:txPr>
                <a:bodyPr rot="0" spcFirstLastPara="1" vertOverflow="clip" horzOverflow="clip"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330" b="0" i="0" u="none" strike="noStrike" kern="1200" baseline="0">
                      <a:solidFill>
                        <a:srgbClr val="FFC000">
                          <a:lumMod val="60000"/>
                        </a:srgbClr>
                      </a:solidFill>
                      <a:effectLst/>
                      <a:latin typeface="+mn-lt"/>
                      <a:ea typeface="+mn-ea"/>
                      <a:cs typeface="+mn-cs"/>
                    </a:defRPr>
                  </a:pPr>
                  <a:endParaRPr lang="en-US"/>
                </a:p>
              </c:txPr>
              <c:dLblPos val="inEnd"/>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DEF1-4649-B2E9-36F58D3BDE3C}"/>
                </c:ext>
              </c:extLst>
            </c:dLbl>
            <c:spPr>
              <a:solidFill>
                <a:srgbClr val="FFFFFF">
                  <a:alpha val="90000"/>
                </a:srgbClr>
              </a:solidFill>
              <a:ln w="12700" cap="flat" cmpd="sng" algn="ctr">
                <a:solidFill>
                  <a:srgbClr val="F6A21D"/>
                </a:solidFill>
                <a:round/>
              </a:ln>
              <a:effectLst>
                <a:outerShdw blurRad="50800" dist="38100" dir="2700000" algn="tl" rotWithShape="0">
                  <a:srgbClr val="F6A21D">
                    <a:lumMod val="75000"/>
                    <a:alpha val="40000"/>
                  </a:srgbClr>
                </a:outerShdw>
              </a:effectLst>
            </c:spPr>
            <c:dLblPos val="inEnd"/>
            <c:showLegendKey val="0"/>
            <c:showVal val="0"/>
            <c:showCatName val="1"/>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Foglio1!$A$2:$A$11</c:f>
              <c:strCache>
                <c:ptCount val="10"/>
                <c:pt idx="0">
                  <c:v>Assetto normativo</c:v>
                </c:pt>
                <c:pt idx="1">
                  <c:v>Governance e Leadership</c:v>
                </c:pt>
                <c:pt idx="2">
                  <c:v>Infrasrutture tecnologiche e digitali</c:v>
                </c:pt>
                <c:pt idx="3">
                  <c:v>Coordinamento dei processi</c:v>
                </c:pt>
                <c:pt idx="4">
                  <c:v>Finanziamenti</c:v>
                </c:pt>
                <c:pt idx="5">
                  <c:v>Metodi di valutazione</c:v>
                </c:pt>
                <c:pt idx="6">
                  <c:v>Professionisti</c:v>
                </c:pt>
                <c:pt idx="7">
                  <c:v>Utenti e caregiver</c:v>
                </c:pt>
                <c:pt idx="8">
                  <c:v>Rapporto medico-paziente</c:v>
                </c:pt>
                <c:pt idx="9">
                  <c:v>Ampiezza dell'ambizione</c:v>
                </c:pt>
              </c:strCache>
            </c:strRef>
          </c:cat>
          <c:val>
            <c:numRef>
              <c:f>Foglio1!$B$2:$B$11</c:f>
              <c:numCache>
                <c:formatCode>General</c:formatCode>
                <c:ptCount val="10"/>
                <c:pt idx="0">
                  <c:v>0.1</c:v>
                </c:pt>
                <c:pt idx="1">
                  <c:v>0.1</c:v>
                </c:pt>
                <c:pt idx="2">
                  <c:v>0.1</c:v>
                </c:pt>
                <c:pt idx="3">
                  <c:v>0.1</c:v>
                </c:pt>
                <c:pt idx="4">
                  <c:v>0.1</c:v>
                </c:pt>
                <c:pt idx="5">
                  <c:v>0.1</c:v>
                </c:pt>
                <c:pt idx="6">
                  <c:v>0.1</c:v>
                </c:pt>
                <c:pt idx="7">
                  <c:v>0.1</c:v>
                </c:pt>
                <c:pt idx="8">
                  <c:v>0.1</c:v>
                </c:pt>
                <c:pt idx="9">
                  <c:v>0.1</c:v>
                </c:pt>
              </c:numCache>
            </c:numRef>
          </c:val>
          <c:extLst>
            <c:ext xmlns:c16="http://schemas.microsoft.com/office/drawing/2014/chart" uri="{C3380CC4-5D6E-409C-BE32-E72D297353CC}">
              <c16:uniqueId val="{00000014-DEF1-4649-B2E9-36F58D3BDE3C}"/>
            </c:ext>
          </c:extLst>
        </c:ser>
        <c:dLbls>
          <c:dLblPos val="in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1197"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33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33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2797</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2026-04-08T14:18:00Z</dcterms:created>
  <dcterms:modified xsi:type="dcterms:W3CDTF">2026-04-08T14:18:00Z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